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159EC940" w14:textId="77777777" w:rsidTr="005539A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8AACA31" w14:textId="77777777" w:rsidR="002D5AAC" w:rsidRDefault="002D5AAC" w:rsidP="005539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1B1B7512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07670105" w14:textId="77777777" w:rsidR="002D5AAC" w:rsidRDefault="005539A2" w:rsidP="005539A2">
            <w:pPr>
              <w:jc w:val="right"/>
            </w:pPr>
            <w:r w:rsidRPr="005539A2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/44/</w:t>
            </w:r>
            <w:proofErr w:type="spellStart"/>
            <w:r>
              <w:t>L.6</w:t>
            </w:r>
            <w:proofErr w:type="spellEnd"/>
          </w:p>
        </w:tc>
      </w:tr>
      <w:tr w:rsidR="002D5AAC" w14:paraId="419B49EF" w14:textId="77777777" w:rsidTr="005539A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079B6B14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1B69D35" wp14:editId="15B9E2E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679509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0CD7201" w14:textId="77777777" w:rsidR="002D5AAC" w:rsidRDefault="005539A2" w:rsidP="0008244E">
            <w:pPr>
              <w:spacing w:before="240"/>
            </w:pPr>
            <w:r>
              <w:t>Distr. general</w:t>
            </w:r>
          </w:p>
          <w:p w14:paraId="749B7464" w14:textId="77777777" w:rsidR="005539A2" w:rsidRDefault="003C47A3" w:rsidP="005539A2">
            <w:pPr>
              <w:spacing w:line="240" w:lineRule="exact"/>
            </w:pPr>
            <w:r>
              <w:t xml:space="preserve">14 </w:t>
            </w:r>
            <w:r w:rsidR="005539A2">
              <w:t>de julio de 2020</w:t>
            </w:r>
          </w:p>
          <w:p w14:paraId="0ACD0CFA" w14:textId="77777777" w:rsidR="005539A2" w:rsidRDefault="005539A2" w:rsidP="005539A2">
            <w:pPr>
              <w:spacing w:line="240" w:lineRule="exact"/>
            </w:pPr>
            <w:r>
              <w:t>Español</w:t>
            </w:r>
          </w:p>
          <w:p w14:paraId="777794FB" w14:textId="77777777" w:rsidR="005539A2" w:rsidRDefault="005539A2" w:rsidP="005539A2">
            <w:pPr>
              <w:spacing w:line="240" w:lineRule="exact"/>
            </w:pPr>
            <w:r>
              <w:t>Original: inglés</w:t>
            </w:r>
          </w:p>
        </w:tc>
      </w:tr>
    </w:tbl>
    <w:p w14:paraId="7D702D43" w14:textId="77777777" w:rsidR="005539A2" w:rsidRPr="005539A2" w:rsidRDefault="005539A2" w:rsidP="005539A2">
      <w:pPr>
        <w:spacing w:before="120"/>
        <w:rPr>
          <w:b/>
          <w:bCs/>
          <w:sz w:val="24"/>
          <w:szCs w:val="24"/>
        </w:rPr>
      </w:pPr>
      <w:r w:rsidRPr="005539A2">
        <w:rPr>
          <w:b/>
          <w:bCs/>
          <w:sz w:val="24"/>
          <w:szCs w:val="24"/>
        </w:rPr>
        <w:t>Consejo de Derechos Humanos</w:t>
      </w:r>
    </w:p>
    <w:p w14:paraId="53856291" w14:textId="77777777" w:rsidR="005539A2" w:rsidRPr="005539A2" w:rsidRDefault="005539A2" w:rsidP="005539A2">
      <w:pPr>
        <w:rPr>
          <w:b/>
          <w:bCs/>
        </w:rPr>
      </w:pPr>
      <w:r w:rsidRPr="005539A2">
        <w:rPr>
          <w:b/>
          <w:bCs/>
        </w:rPr>
        <w:t>44º período de sesiones</w:t>
      </w:r>
    </w:p>
    <w:p w14:paraId="3F233F00" w14:textId="77777777" w:rsidR="005539A2" w:rsidRPr="005539A2" w:rsidRDefault="005539A2" w:rsidP="005539A2">
      <w:r w:rsidRPr="005539A2">
        <w:t>30 de junio a 17 de julio de 2020</w:t>
      </w:r>
    </w:p>
    <w:p w14:paraId="4634B32C" w14:textId="77777777" w:rsidR="005539A2" w:rsidRPr="005539A2" w:rsidRDefault="005539A2" w:rsidP="005539A2">
      <w:r w:rsidRPr="005539A2">
        <w:t>Tema 3 de la agenda</w:t>
      </w:r>
    </w:p>
    <w:p w14:paraId="6ECA8675" w14:textId="77777777" w:rsidR="005539A2" w:rsidRPr="005539A2" w:rsidRDefault="005539A2" w:rsidP="005539A2">
      <w:pPr>
        <w:rPr>
          <w:b/>
        </w:rPr>
      </w:pPr>
      <w:r w:rsidRPr="005539A2">
        <w:rPr>
          <w:b/>
          <w:bCs/>
        </w:rPr>
        <w:t xml:space="preserve">Promoción y protección de todos los derechos humanos, </w:t>
      </w:r>
      <w:r>
        <w:rPr>
          <w:b/>
          <w:bCs/>
        </w:rPr>
        <w:br/>
      </w:r>
      <w:r w:rsidRPr="005539A2">
        <w:rPr>
          <w:b/>
          <w:bCs/>
        </w:rPr>
        <w:t xml:space="preserve">civiles, políticos, económicos, sociales y culturales, </w:t>
      </w:r>
      <w:r>
        <w:rPr>
          <w:b/>
          <w:bCs/>
        </w:rPr>
        <w:br/>
      </w:r>
      <w:r w:rsidRPr="005539A2">
        <w:rPr>
          <w:b/>
          <w:bCs/>
        </w:rPr>
        <w:t>incluido el derecho al desarrollo</w:t>
      </w:r>
    </w:p>
    <w:p w14:paraId="6A9530C9" w14:textId="77777777" w:rsidR="005539A2" w:rsidRPr="005539A2" w:rsidRDefault="005539A2" w:rsidP="005539A2">
      <w:pPr>
        <w:pStyle w:val="H23G"/>
      </w:pPr>
      <w:r>
        <w:tab/>
      </w:r>
      <w:r w:rsidRPr="005539A2">
        <w:tab/>
        <w:t>Albania</w:t>
      </w:r>
      <w:r w:rsidRPr="005539A2">
        <w:rPr>
          <w:b w:val="0"/>
          <w:bCs/>
        </w:rPr>
        <w:footnoteReference w:customMarkFollows="1" w:id="1"/>
        <w:t>*,</w:t>
      </w:r>
      <w:r w:rsidRPr="005539A2">
        <w:t xml:space="preserve"> Argentina, Armenia, Australia, Austria, </w:t>
      </w:r>
      <w:proofErr w:type="spellStart"/>
      <w:r w:rsidRPr="005539A2">
        <w:t>Botswana</w:t>
      </w:r>
      <w:proofErr w:type="spellEnd"/>
      <w:r w:rsidRPr="005539A2">
        <w:rPr>
          <w:b w:val="0"/>
          <w:bCs/>
        </w:rPr>
        <w:t>*</w:t>
      </w:r>
      <w:r w:rsidRPr="005539A2">
        <w:t xml:space="preserve">, Bulgaria, </w:t>
      </w:r>
      <w:r>
        <w:br/>
      </w:r>
      <w:r w:rsidRPr="005539A2">
        <w:t>Canadá</w:t>
      </w:r>
      <w:r w:rsidRPr="005539A2">
        <w:rPr>
          <w:b w:val="0"/>
          <w:bCs/>
        </w:rPr>
        <w:t>*</w:t>
      </w:r>
      <w:r w:rsidRPr="005539A2">
        <w:t>, Chequia, Chile, Chipre</w:t>
      </w:r>
      <w:r w:rsidRPr="005539A2">
        <w:rPr>
          <w:b w:val="0"/>
          <w:bCs/>
        </w:rPr>
        <w:t>*</w:t>
      </w:r>
      <w:r w:rsidRPr="005539A2">
        <w:t>, Croacia</w:t>
      </w:r>
      <w:r w:rsidRPr="005539A2">
        <w:rPr>
          <w:b w:val="0"/>
          <w:bCs/>
        </w:rPr>
        <w:t>*</w:t>
      </w:r>
      <w:r w:rsidRPr="005539A2">
        <w:t xml:space="preserve">, Dinamarca, Eslovaquia, </w:t>
      </w:r>
      <w:r>
        <w:br/>
      </w:r>
      <w:r w:rsidRPr="005539A2">
        <w:t>Eslovenia</w:t>
      </w:r>
      <w:r w:rsidRPr="005539A2">
        <w:rPr>
          <w:b w:val="0"/>
          <w:bCs/>
        </w:rPr>
        <w:t>*</w:t>
      </w:r>
      <w:r w:rsidRPr="005539A2">
        <w:t>, España, Estonia</w:t>
      </w:r>
      <w:r w:rsidRPr="005539A2">
        <w:rPr>
          <w:b w:val="0"/>
          <w:bCs/>
        </w:rPr>
        <w:t>*</w:t>
      </w:r>
      <w:r w:rsidRPr="005539A2">
        <w:t>, Fiji, Finlandia</w:t>
      </w:r>
      <w:r w:rsidRPr="005539A2">
        <w:rPr>
          <w:b w:val="0"/>
          <w:bCs/>
        </w:rPr>
        <w:t>*</w:t>
      </w:r>
      <w:r w:rsidRPr="005539A2">
        <w:t>, Francia</w:t>
      </w:r>
      <w:r w:rsidRPr="005539A2">
        <w:rPr>
          <w:b w:val="0"/>
          <w:bCs/>
        </w:rPr>
        <w:t>*</w:t>
      </w:r>
      <w:r w:rsidRPr="005539A2">
        <w:t>, Grecia</w:t>
      </w:r>
      <w:r w:rsidRPr="005539A2">
        <w:rPr>
          <w:b w:val="0"/>
          <w:bCs/>
        </w:rPr>
        <w:t>*</w:t>
      </w:r>
      <w:r w:rsidRPr="005539A2">
        <w:t>, Hungría</w:t>
      </w:r>
      <w:r w:rsidRPr="005539A2">
        <w:rPr>
          <w:b w:val="0"/>
          <w:bCs/>
        </w:rPr>
        <w:t>*</w:t>
      </w:r>
      <w:r w:rsidRPr="005539A2">
        <w:t xml:space="preserve">, </w:t>
      </w:r>
      <w:r>
        <w:br/>
      </w:r>
      <w:r w:rsidRPr="005539A2">
        <w:t>India, Irlanda</w:t>
      </w:r>
      <w:r w:rsidRPr="005539A2">
        <w:rPr>
          <w:b w:val="0"/>
          <w:bCs/>
        </w:rPr>
        <w:t>*</w:t>
      </w:r>
      <w:r w:rsidRPr="005539A2">
        <w:t>, Letonia</w:t>
      </w:r>
      <w:r w:rsidRPr="005539A2">
        <w:rPr>
          <w:b w:val="0"/>
          <w:bCs/>
        </w:rPr>
        <w:t>*</w:t>
      </w:r>
      <w:r w:rsidRPr="005539A2">
        <w:t>, Liechtenstein</w:t>
      </w:r>
      <w:r w:rsidRPr="005539A2">
        <w:rPr>
          <w:b w:val="0"/>
          <w:bCs/>
        </w:rPr>
        <w:t>*</w:t>
      </w:r>
      <w:r w:rsidRPr="005539A2">
        <w:t>, Lituania</w:t>
      </w:r>
      <w:r w:rsidRPr="005539A2">
        <w:rPr>
          <w:b w:val="0"/>
          <w:bCs/>
        </w:rPr>
        <w:t>*</w:t>
      </w:r>
      <w:r w:rsidRPr="005539A2">
        <w:t>, Luxemburgo</w:t>
      </w:r>
      <w:r w:rsidRPr="005539A2">
        <w:rPr>
          <w:b w:val="0"/>
          <w:bCs/>
        </w:rPr>
        <w:t>*</w:t>
      </w:r>
      <w:r w:rsidRPr="005539A2">
        <w:t xml:space="preserve">, Macedonia </w:t>
      </w:r>
      <w:r>
        <w:br/>
      </w:r>
      <w:r w:rsidRPr="005539A2">
        <w:t>del Norte</w:t>
      </w:r>
      <w:r w:rsidRPr="005539A2">
        <w:rPr>
          <w:b w:val="0"/>
          <w:bCs/>
        </w:rPr>
        <w:t>*</w:t>
      </w:r>
      <w:r w:rsidRPr="005539A2">
        <w:t>, Maldivas</w:t>
      </w:r>
      <w:r w:rsidRPr="005539A2">
        <w:rPr>
          <w:b w:val="0"/>
          <w:bCs/>
        </w:rPr>
        <w:t>*</w:t>
      </w:r>
      <w:r w:rsidRPr="005539A2">
        <w:t>, Malta</w:t>
      </w:r>
      <w:r w:rsidRPr="005539A2">
        <w:rPr>
          <w:b w:val="0"/>
          <w:bCs/>
        </w:rPr>
        <w:t>*</w:t>
      </w:r>
      <w:r w:rsidRPr="005539A2">
        <w:t>, México, Montenegro</w:t>
      </w:r>
      <w:r w:rsidRPr="005539A2">
        <w:rPr>
          <w:b w:val="0"/>
          <w:bCs/>
        </w:rPr>
        <w:t>*</w:t>
      </w:r>
      <w:r w:rsidRPr="005539A2">
        <w:t>, Noruega</w:t>
      </w:r>
      <w:r w:rsidRPr="005539A2">
        <w:rPr>
          <w:b w:val="0"/>
          <w:bCs/>
        </w:rPr>
        <w:t>*</w:t>
      </w:r>
      <w:r w:rsidRPr="005539A2">
        <w:t>, Nueva Zelandia</w:t>
      </w:r>
      <w:r w:rsidRPr="005539A2">
        <w:rPr>
          <w:b w:val="0"/>
          <w:bCs/>
        </w:rPr>
        <w:t>*</w:t>
      </w:r>
      <w:r w:rsidRPr="005539A2">
        <w:t>, Países Bajos, Perú, Portugal</w:t>
      </w:r>
      <w:r w:rsidRPr="005539A2">
        <w:rPr>
          <w:b w:val="0"/>
          <w:bCs/>
        </w:rPr>
        <w:t>*</w:t>
      </w:r>
      <w:r w:rsidRPr="005539A2">
        <w:t>, Reino Unido de Gran Bretaña e Irlanda del Norte</w:t>
      </w:r>
      <w:r w:rsidRPr="005539A2">
        <w:rPr>
          <w:b w:val="0"/>
          <w:bCs/>
        </w:rPr>
        <w:t>*</w:t>
      </w:r>
      <w:r w:rsidRPr="005539A2">
        <w:t>, Rumania</w:t>
      </w:r>
      <w:r w:rsidRPr="005539A2">
        <w:rPr>
          <w:b w:val="0"/>
          <w:bCs/>
        </w:rPr>
        <w:t>*</w:t>
      </w:r>
      <w:r w:rsidRPr="005539A2">
        <w:t>, Suecia</w:t>
      </w:r>
      <w:r w:rsidRPr="005539A2">
        <w:rPr>
          <w:b w:val="0"/>
          <w:bCs/>
        </w:rPr>
        <w:t>*</w:t>
      </w:r>
      <w:r w:rsidRPr="005539A2">
        <w:t>, Suiza</w:t>
      </w:r>
      <w:r w:rsidRPr="005539A2">
        <w:rPr>
          <w:b w:val="0"/>
          <w:bCs/>
        </w:rPr>
        <w:t>*</w:t>
      </w:r>
      <w:r w:rsidRPr="005539A2">
        <w:t>, Tailandia</w:t>
      </w:r>
      <w:r w:rsidRPr="005539A2">
        <w:rPr>
          <w:b w:val="0"/>
          <w:bCs/>
        </w:rPr>
        <w:t>*</w:t>
      </w:r>
      <w:r w:rsidRPr="005539A2">
        <w:t>, Túnez</w:t>
      </w:r>
      <w:r w:rsidRPr="005539A2">
        <w:rPr>
          <w:b w:val="0"/>
          <w:bCs/>
        </w:rPr>
        <w:t>*</w:t>
      </w:r>
      <w:r w:rsidRPr="005539A2">
        <w:t>, Ucrania y Uruguay: proyecto de resolución</w:t>
      </w:r>
    </w:p>
    <w:p w14:paraId="787D79A4" w14:textId="77777777" w:rsidR="005539A2" w:rsidRPr="005539A2" w:rsidRDefault="005539A2" w:rsidP="005539A2">
      <w:pPr>
        <w:pStyle w:val="H1G"/>
        <w:tabs>
          <w:tab w:val="left" w:pos="1834"/>
        </w:tabs>
      </w:pPr>
      <w:r>
        <w:tab/>
      </w:r>
      <w:r>
        <w:tab/>
      </w:r>
      <w:r w:rsidRPr="005539A2">
        <w:t>44/…</w:t>
      </w:r>
      <w:r w:rsidRPr="005539A2">
        <w:tab/>
        <w:t xml:space="preserve">Mandato del Relator Especial sobre la independencia </w:t>
      </w:r>
      <w:r>
        <w:br/>
      </w:r>
      <w:r>
        <w:tab/>
      </w:r>
      <w:r w:rsidRPr="005539A2">
        <w:t>de los magistrados y abogados</w:t>
      </w:r>
    </w:p>
    <w:p w14:paraId="00B074A1" w14:textId="77777777" w:rsidR="005539A2" w:rsidRPr="005539A2" w:rsidRDefault="005539A2" w:rsidP="005539A2">
      <w:pPr>
        <w:pStyle w:val="SingleTxtG"/>
      </w:pPr>
      <w:r w:rsidRPr="005539A2">
        <w:tab/>
      </w:r>
      <w:r w:rsidRPr="005539A2">
        <w:rPr>
          <w:i/>
          <w:iCs/>
        </w:rPr>
        <w:t>El Consejo de Derechos Humanos</w:t>
      </w:r>
      <w:r w:rsidRPr="005539A2">
        <w:rPr>
          <w:iCs/>
        </w:rPr>
        <w:t>,</w:t>
      </w:r>
    </w:p>
    <w:p w14:paraId="0C76F545" w14:textId="77777777" w:rsidR="005539A2" w:rsidRPr="005539A2" w:rsidRDefault="005539A2" w:rsidP="005539A2">
      <w:pPr>
        <w:pStyle w:val="SingleTxtG"/>
      </w:pPr>
      <w:r>
        <w:rPr>
          <w:i/>
          <w:iCs/>
        </w:rPr>
        <w:tab/>
      </w:r>
      <w:r w:rsidRPr="005539A2">
        <w:rPr>
          <w:i/>
          <w:iCs/>
        </w:rPr>
        <w:t>Recordando</w:t>
      </w:r>
      <w:r w:rsidRPr="005539A2">
        <w:t xml:space="preserve"> todas sus resoluciones y decisiones anteriores, así como las de la Comisión de Derechos Humanos y la Asamblea General, sobre la independencia del poder judicial y la integridad del sistema judicial,</w:t>
      </w:r>
    </w:p>
    <w:p w14:paraId="4AAC150F" w14:textId="77777777" w:rsidR="005539A2" w:rsidRPr="005539A2" w:rsidRDefault="005539A2" w:rsidP="005539A2">
      <w:pPr>
        <w:pStyle w:val="SingleTxtG"/>
      </w:pPr>
      <w:r>
        <w:rPr>
          <w:i/>
          <w:iCs/>
        </w:rPr>
        <w:tab/>
      </w:r>
      <w:r w:rsidRPr="005539A2">
        <w:rPr>
          <w:i/>
          <w:iCs/>
        </w:rPr>
        <w:t>Convencido</w:t>
      </w:r>
      <w:r w:rsidRPr="005539A2">
        <w:t xml:space="preserve"> de que la independencia e imparcialidad del poder judicial, la independencia de los profesionales del derecho, la objetividad e imparcialidad de fiscales capaces de desempeñar debidamente su cometido y la integridad del sistema judicial son requisitos esenciales para la protección de los derechos humanos y las libertades fundamentales y la aplicación de la legislación propia de un estado de derecho, y para asegurar que los juicios sean imparciales y se celebren al margen de cualquier discriminación,</w:t>
      </w:r>
    </w:p>
    <w:p w14:paraId="46B0C03F" w14:textId="77777777" w:rsidR="005539A2" w:rsidRPr="005539A2" w:rsidRDefault="005539A2" w:rsidP="005539A2">
      <w:pPr>
        <w:pStyle w:val="SingleTxtG"/>
      </w:pPr>
      <w:r>
        <w:rPr>
          <w:i/>
          <w:iCs/>
        </w:rPr>
        <w:tab/>
      </w:r>
      <w:r w:rsidRPr="005539A2">
        <w:rPr>
          <w:i/>
          <w:iCs/>
        </w:rPr>
        <w:t>Condenando</w:t>
      </w:r>
      <w:r w:rsidRPr="005539A2">
        <w:t xml:space="preserve"> los atentados cada vez más frecuentes contra la independencia de jueces, abogados, fiscales y funcionarios judiciales, en particular las amenazas, la intimidación y la injerencia en el desempeño de sus funciones profesionales,</w:t>
      </w:r>
    </w:p>
    <w:p w14:paraId="05CC0051" w14:textId="77777777" w:rsidR="005539A2" w:rsidRPr="005539A2" w:rsidRDefault="005539A2" w:rsidP="005539A2">
      <w:pPr>
        <w:pStyle w:val="SingleTxtG"/>
      </w:pPr>
      <w:r>
        <w:rPr>
          <w:i/>
          <w:iCs/>
        </w:rPr>
        <w:tab/>
      </w:r>
      <w:r w:rsidRPr="005539A2">
        <w:rPr>
          <w:i/>
          <w:iCs/>
        </w:rPr>
        <w:t xml:space="preserve">Recordando </w:t>
      </w:r>
      <w:r w:rsidRPr="005539A2">
        <w:t>sus resoluciones 5/1, sobre la construcción institucional del Consejo de Derechos Humanos, y 5/2, sobre el Código de Conducta para los Titulares de Mandatos de los Procedimientos Especiales del Consejo, ambas de 18 de junio de 2007, y destacando que el titular del mandato desempeñará sus funciones de conformidad con estas resoluciones y sus anexos,</w:t>
      </w:r>
    </w:p>
    <w:p w14:paraId="7E34C537" w14:textId="77777777" w:rsidR="005539A2" w:rsidRPr="005539A2" w:rsidRDefault="005539A2" w:rsidP="005539A2">
      <w:pPr>
        <w:pStyle w:val="SingleTxtG"/>
      </w:pPr>
      <w:r>
        <w:tab/>
      </w:r>
      <w:r w:rsidRPr="005539A2">
        <w:t>1.</w:t>
      </w:r>
      <w:r w:rsidRPr="005539A2">
        <w:tab/>
      </w:r>
      <w:r w:rsidRPr="005539A2">
        <w:rPr>
          <w:i/>
          <w:iCs/>
        </w:rPr>
        <w:t>Encomia</w:t>
      </w:r>
      <w:r w:rsidRPr="005539A2">
        <w:t xml:space="preserve"> al Relator Especial sobre la independencia de los magistrados y abogados por la importante labor desarrollada en cumplimiento del mandato;</w:t>
      </w:r>
    </w:p>
    <w:p w14:paraId="497ECC1C" w14:textId="77777777" w:rsidR="005539A2" w:rsidRPr="005539A2" w:rsidRDefault="005539A2" w:rsidP="005539A2">
      <w:pPr>
        <w:pStyle w:val="SingleTxtG"/>
      </w:pPr>
      <w:r>
        <w:lastRenderedPageBreak/>
        <w:tab/>
      </w:r>
      <w:r w:rsidRPr="005539A2">
        <w:t>2.</w:t>
      </w:r>
      <w:r w:rsidRPr="005539A2">
        <w:tab/>
      </w:r>
      <w:r w:rsidRPr="005539A2">
        <w:rPr>
          <w:i/>
          <w:iCs/>
        </w:rPr>
        <w:t>Decide</w:t>
      </w:r>
      <w:r w:rsidRPr="005539A2">
        <w:t xml:space="preserve"> prorrogar el mandato del Relator Especial sobre la independencia de los magistrados y abogados por un período de tres años, en los mismos términos previstos por el Consejo de Derechos Humanos en su resolución 35/11, de 22 de junio de 2017;</w:t>
      </w:r>
    </w:p>
    <w:p w14:paraId="20693533" w14:textId="77777777" w:rsidR="005539A2" w:rsidRPr="005539A2" w:rsidRDefault="005539A2" w:rsidP="005539A2">
      <w:pPr>
        <w:pStyle w:val="SingleTxtG"/>
      </w:pPr>
      <w:r>
        <w:tab/>
      </w:r>
      <w:r w:rsidRPr="005539A2">
        <w:t>3.</w:t>
      </w:r>
      <w:r w:rsidRPr="005539A2">
        <w:tab/>
      </w:r>
      <w:r w:rsidRPr="005539A2">
        <w:rPr>
          <w:i/>
          <w:iCs/>
        </w:rPr>
        <w:t xml:space="preserve">Insta </w:t>
      </w:r>
      <w:r w:rsidRPr="005539A2">
        <w:t>a todos los Gobiernos a cooperar con el Relator Especial y a prestarle asistencia en el desempeño de su cometido, a facilitarle toda la información necesaria que solicite, a responder sin dilaciones indebidas a las comunicaciones que les haga llegar, y a considerar la posibilidad de acceder a sus solicitudes para visitar sus países y de poner en práctica sus recomendaciones;</w:t>
      </w:r>
    </w:p>
    <w:p w14:paraId="7F2AB5FF" w14:textId="77777777" w:rsidR="005539A2" w:rsidRPr="005539A2" w:rsidRDefault="005539A2" w:rsidP="005539A2">
      <w:pPr>
        <w:pStyle w:val="SingleTxtG"/>
      </w:pPr>
      <w:r>
        <w:tab/>
      </w:r>
      <w:r w:rsidRPr="005539A2">
        <w:t>4.</w:t>
      </w:r>
      <w:r w:rsidRPr="005539A2">
        <w:tab/>
      </w:r>
      <w:r w:rsidRPr="005539A2">
        <w:rPr>
          <w:i/>
          <w:iCs/>
        </w:rPr>
        <w:t xml:space="preserve">Alienta </w:t>
      </w:r>
      <w:r w:rsidRPr="005539A2">
        <w:t>a las Naciones Unidas y sus organismos especializados, así como a las organizaciones regionales, las instituciones nacionales de derechos humanos, los expertos independientes, los colegios de abogados, las asociaciones profesionales de jueces y fiscales, las organizaciones no gubernamentales y otras partes interesadas pertinentes, a que cooperen en la mayor medida posible con el Relator Especial en el desempeño de su mandato;</w:t>
      </w:r>
    </w:p>
    <w:p w14:paraId="2494FAFD" w14:textId="77777777" w:rsidR="005539A2" w:rsidRPr="005539A2" w:rsidRDefault="005539A2" w:rsidP="005539A2">
      <w:pPr>
        <w:pStyle w:val="SingleTxtG"/>
      </w:pPr>
      <w:r>
        <w:tab/>
      </w:r>
      <w:r w:rsidRPr="005539A2">
        <w:t>5.</w:t>
      </w:r>
      <w:r w:rsidRPr="005539A2">
        <w:tab/>
      </w:r>
      <w:r w:rsidRPr="005539A2">
        <w:rPr>
          <w:i/>
          <w:iCs/>
        </w:rPr>
        <w:t>Solicita</w:t>
      </w:r>
      <w:r w:rsidRPr="005539A2">
        <w:t xml:space="preserve"> al Secretario General y al Alto Comisionado de las Naciones Unidas para los Derechos Humanos que proporcionen al Relator Especial todos los recursos humanos y financieros necesarios para el desempeño eficaz de su mandato;</w:t>
      </w:r>
    </w:p>
    <w:p w14:paraId="026D7F6D" w14:textId="77777777" w:rsidR="005539A2" w:rsidRDefault="005539A2" w:rsidP="005539A2">
      <w:pPr>
        <w:pStyle w:val="SingleTxtG"/>
      </w:pPr>
      <w:r>
        <w:tab/>
      </w:r>
      <w:r w:rsidRPr="005539A2">
        <w:t>6.</w:t>
      </w:r>
      <w:r w:rsidRPr="005539A2">
        <w:tab/>
      </w:r>
      <w:r w:rsidRPr="005539A2">
        <w:rPr>
          <w:i/>
          <w:iCs/>
        </w:rPr>
        <w:t>Decide</w:t>
      </w:r>
      <w:r w:rsidRPr="005539A2">
        <w:t xml:space="preserve"> seguir examinando esta cuestión con arreglo a su programa de trabajo anual.</w:t>
      </w:r>
    </w:p>
    <w:p w14:paraId="3DBE1EF6" w14:textId="77777777" w:rsidR="005539A2" w:rsidRPr="005539A2" w:rsidRDefault="005539A2" w:rsidP="005539A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39A2" w:rsidRPr="005539A2" w:rsidSect="005539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AEC6" w14:textId="77777777" w:rsidR="000F3F49" w:rsidRPr="00A312BC" w:rsidRDefault="000F3F49" w:rsidP="00A312BC">
      <w:pPr>
        <w:pStyle w:val="Piedepgina"/>
      </w:pPr>
    </w:p>
  </w:endnote>
  <w:endnote w:type="continuationSeparator" w:id="0">
    <w:p w14:paraId="5B08240A" w14:textId="77777777" w:rsidR="000F3F49" w:rsidRPr="00A312BC" w:rsidRDefault="000F3F49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DB43" w14:textId="77777777" w:rsidR="005539A2" w:rsidRPr="005539A2" w:rsidRDefault="005539A2" w:rsidP="005539A2">
    <w:pPr>
      <w:pStyle w:val="Piedepgina"/>
      <w:tabs>
        <w:tab w:val="right" w:pos="9638"/>
      </w:tabs>
    </w:pPr>
    <w:r w:rsidRPr="005539A2">
      <w:rPr>
        <w:b/>
        <w:sz w:val="18"/>
      </w:rPr>
      <w:fldChar w:fldCharType="begin"/>
    </w:r>
    <w:r w:rsidRPr="005539A2">
      <w:rPr>
        <w:b/>
        <w:sz w:val="18"/>
      </w:rPr>
      <w:instrText xml:space="preserve"> PAGE  \* MERGEFORMAT </w:instrText>
    </w:r>
    <w:r w:rsidRPr="005539A2">
      <w:rPr>
        <w:b/>
        <w:sz w:val="18"/>
      </w:rPr>
      <w:fldChar w:fldCharType="separate"/>
    </w:r>
    <w:r w:rsidRPr="005539A2">
      <w:rPr>
        <w:b/>
        <w:noProof/>
        <w:sz w:val="18"/>
      </w:rPr>
      <w:t>2</w:t>
    </w:r>
    <w:r w:rsidRPr="005539A2">
      <w:rPr>
        <w:b/>
        <w:sz w:val="18"/>
      </w:rPr>
      <w:fldChar w:fldCharType="end"/>
    </w:r>
    <w:r>
      <w:rPr>
        <w:b/>
        <w:sz w:val="18"/>
      </w:rPr>
      <w:tab/>
    </w:r>
    <w:r>
      <w:t>GE.20-09190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8FF4" w14:textId="77777777" w:rsidR="005539A2" w:rsidRPr="005539A2" w:rsidRDefault="005539A2" w:rsidP="005539A2">
    <w:pPr>
      <w:pStyle w:val="Piedepgina"/>
      <w:tabs>
        <w:tab w:val="right" w:pos="9638"/>
      </w:tabs>
      <w:rPr>
        <w:b/>
        <w:sz w:val="18"/>
      </w:rPr>
    </w:pPr>
    <w:r>
      <w:t>GE.20-09190</w:t>
    </w:r>
    <w:r>
      <w:tab/>
    </w:r>
    <w:r w:rsidRPr="005539A2">
      <w:rPr>
        <w:b/>
        <w:sz w:val="18"/>
      </w:rPr>
      <w:fldChar w:fldCharType="begin"/>
    </w:r>
    <w:r w:rsidRPr="005539A2">
      <w:rPr>
        <w:b/>
        <w:sz w:val="18"/>
      </w:rPr>
      <w:instrText xml:space="preserve"> PAGE  \* MERGEFORMAT </w:instrText>
    </w:r>
    <w:r w:rsidRPr="005539A2">
      <w:rPr>
        <w:b/>
        <w:sz w:val="18"/>
      </w:rPr>
      <w:fldChar w:fldCharType="separate"/>
    </w:r>
    <w:r w:rsidRPr="005539A2">
      <w:rPr>
        <w:b/>
        <w:noProof/>
        <w:sz w:val="18"/>
      </w:rPr>
      <w:t>3</w:t>
    </w:r>
    <w:r w:rsidRPr="005539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EC37" w14:textId="77777777" w:rsidR="00042B72" w:rsidRPr="005539A2" w:rsidRDefault="005539A2" w:rsidP="005539A2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3DE22B58" wp14:editId="28A5B53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20-09190  (S)    150720    150720</w:t>
    </w:r>
    <w:r>
      <w:rPr>
        <w:sz w:val="20"/>
      </w:rPr>
      <w:br/>
    </w:r>
    <w:r w:rsidRPr="005539A2">
      <w:rPr>
        <w:rFonts w:ascii="C39T30Lfz" w:hAnsi="C39T30Lfz"/>
        <w:sz w:val="56"/>
      </w:rPr>
      <w:t></w:t>
    </w:r>
    <w:r w:rsidRPr="005539A2">
      <w:rPr>
        <w:rFonts w:ascii="C39T30Lfz" w:hAnsi="C39T30Lfz"/>
        <w:sz w:val="56"/>
      </w:rPr>
      <w:t></w:t>
    </w:r>
    <w:r w:rsidRPr="005539A2">
      <w:rPr>
        <w:rFonts w:ascii="C39T30Lfz" w:hAnsi="C39T30Lfz"/>
        <w:sz w:val="56"/>
      </w:rPr>
      <w:t></w:t>
    </w:r>
    <w:r w:rsidRPr="005539A2">
      <w:rPr>
        <w:rFonts w:ascii="C39T30Lfz" w:hAnsi="C39T30Lfz"/>
        <w:sz w:val="56"/>
      </w:rPr>
      <w:t></w:t>
    </w:r>
    <w:r w:rsidRPr="005539A2">
      <w:rPr>
        <w:rFonts w:ascii="C39T30Lfz" w:hAnsi="C39T30Lfz"/>
        <w:sz w:val="56"/>
      </w:rPr>
      <w:t></w:t>
    </w:r>
    <w:r w:rsidRPr="005539A2">
      <w:rPr>
        <w:rFonts w:ascii="C39T30Lfz" w:hAnsi="C39T30Lfz"/>
        <w:sz w:val="56"/>
      </w:rPr>
      <w:t></w:t>
    </w:r>
    <w:r w:rsidRPr="005539A2">
      <w:rPr>
        <w:rFonts w:ascii="C39T30Lfz" w:hAnsi="C39T30Lfz"/>
        <w:sz w:val="56"/>
      </w:rPr>
      <w:t></w:t>
    </w:r>
    <w:r w:rsidRPr="005539A2">
      <w:rPr>
        <w:rFonts w:ascii="C39T30Lfz" w:hAnsi="C39T30Lfz"/>
        <w:sz w:val="56"/>
      </w:rPr>
      <w:t></w:t>
    </w:r>
    <w:r w:rsidRPr="005539A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8270966" wp14:editId="0CA0944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44/L.6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6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94C9" w14:textId="77777777" w:rsidR="000F3F49" w:rsidRPr="001075E9" w:rsidRDefault="000F3F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4F2837" w14:textId="77777777" w:rsidR="000F3F49" w:rsidRDefault="000F3F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644162" w14:textId="77777777" w:rsidR="005539A2" w:rsidRPr="00B52A0F" w:rsidRDefault="005539A2" w:rsidP="005539A2">
      <w:pPr>
        <w:pStyle w:val="Textonotapie"/>
      </w:pPr>
      <w:r w:rsidRPr="00B52A0F">
        <w:tab/>
      </w:r>
      <w:r w:rsidRPr="005539A2">
        <w:rPr>
          <w:sz w:val="20"/>
        </w:rPr>
        <w:t>*</w:t>
      </w:r>
      <w:r w:rsidRPr="00B52A0F">
        <w:tab/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21E5" w14:textId="7A9DE6DF" w:rsidR="005539A2" w:rsidRPr="005539A2" w:rsidRDefault="005539A2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FC3215">
      <w:t>A/</w:t>
    </w:r>
    <w:proofErr w:type="spellStart"/>
    <w:r w:rsidR="00FC3215">
      <w:t>HRC</w:t>
    </w:r>
    <w:proofErr w:type="spellEnd"/>
    <w:r w:rsidR="00FC3215">
      <w:t>/44/</w:t>
    </w:r>
    <w:proofErr w:type="spellStart"/>
    <w:r w:rsidR="00FC3215">
      <w:t>L.6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E7CB" w14:textId="4F8A9C86" w:rsidR="005539A2" w:rsidRPr="005539A2" w:rsidRDefault="005539A2" w:rsidP="005539A2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C3215">
      <w:t>A/</w:t>
    </w:r>
    <w:proofErr w:type="spellStart"/>
    <w:r w:rsidR="00FC3215">
      <w:t>HRC</w:t>
    </w:r>
    <w:proofErr w:type="spellEnd"/>
    <w:r w:rsidR="00FC3215">
      <w:t>/44/</w:t>
    </w:r>
    <w:proofErr w:type="spellStart"/>
    <w:r w:rsidR="00FC3215">
      <w:t>L.6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3F49"/>
    <w:rsid w:val="00033EE1"/>
    <w:rsid w:val="00042B72"/>
    <w:rsid w:val="000558BD"/>
    <w:rsid w:val="0008244E"/>
    <w:rsid w:val="000B57E7"/>
    <w:rsid w:val="000B6373"/>
    <w:rsid w:val="000F09DF"/>
    <w:rsid w:val="000F3F49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3C47A3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39A2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022F3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01BC2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C321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49E4E"/>
  <w15:docId w15:val="{3F4402AC-4CE6-48DF-A2BE-6983CB9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A/HRC/44/L.6</vt:lpstr>
    </vt:vector>
  </TitlesOfParts>
  <Company>DCM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A/HRC/44/L.6</dc:title>
  <dc:subject/>
  <dc:creator>Javier RODRIGUEZ PEREZ</dc:creator>
  <cp:keywords/>
  <cp:lastModifiedBy>Maria De La Plaza</cp:lastModifiedBy>
  <cp:revision>3</cp:revision>
  <cp:lastPrinted>2020-07-15T10:08:00Z</cp:lastPrinted>
  <dcterms:created xsi:type="dcterms:W3CDTF">2020-07-15T10:08:00Z</dcterms:created>
  <dcterms:modified xsi:type="dcterms:W3CDTF">2020-07-15T10:08:00Z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